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2"/>
        <w:gridCol w:w="70"/>
      </w:tblGrid>
      <w:tr w:rsidR="00F41311" w:rsidTr="00F41311">
        <w:trPr>
          <w:trHeight w:val="1125"/>
        </w:trPr>
        <w:tc>
          <w:tcPr>
            <w:tcW w:w="3403" w:type="dxa"/>
            <w:hideMark/>
          </w:tcPr>
          <w:p w:rsidR="00F41311" w:rsidRDefault="00F41311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5E14A29F" wp14:editId="58AF8833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F41311" w:rsidRPr="00076A79" w:rsidRDefault="00F4131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F41311" w:rsidRDefault="00F4131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F41311" w:rsidRPr="008118D7" w:rsidRDefault="00F4131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F41311" w:rsidRDefault="00FB0403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9" w:history="1">
              <w:r w:rsidR="00F4131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F41311" w:rsidRDefault="00F4131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F41311" w:rsidRPr="008118D7" w:rsidTr="00F41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311" w:rsidRPr="008118D7" w:rsidRDefault="00F4131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3B2F6E" w:rsidRPr="00C45224" w:rsidTr="00F41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1161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45224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3B2F6E" w:rsidRPr="00C45224" w:rsidRDefault="009857C0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om uppodling av annan mark än jordbruksmark</w:t>
            </w:r>
          </w:p>
          <w:p w:rsidR="003B2F6E" w:rsidRPr="00C45224" w:rsidRDefault="003B2F6E" w:rsidP="00A5433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C45224">
              <w:rPr>
                <w:rFonts w:ascii="Trebuchet MS" w:hAnsi="Trebuchet MS"/>
                <w:sz w:val="24"/>
                <w:szCs w:val="24"/>
              </w:rPr>
              <w:t xml:space="preserve">(9 kap 6 § miljöbalken och </w:t>
            </w:r>
            <w:r w:rsidR="00FB0403">
              <w:rPr>
                <w:rFonts w:ascii="Trebuchet MS" w:hAnsi="Trebuchet MS"/>
                <w:sz w:val="24"/>
                <w:szCs w:val="24"/>
              </w:rPr>
              <w:t>2</w:t>
            </w:r>
            <w:r w:rsidR="00A54339">
              <w:rPr>
                <w:rFonts w:ascii="Trebuchet MS" w:hAnsi="Trebuchet MS"/>
                <w:sz w:val="24"/>
                <w:szCs w:val="24"/>
              </w:rPr>
              <w:t xml:space="preserve"> kap </w:t>
            </w:r>
            <w:r w:rsidR="00FB0403">
              <w:rPr>
                <w:rFonts w:ascii="Trebuchet MS" w:hAnsi="Trebuchet MS"/>
                <w:sz w:val="24"/>
                <w:szCs w:val="24"/>
              </w:rPr>
              <w:t>4</w:t>
            </w:r>
            <w:r w:rsidR="00A54339">
              <w:rPr>
                <w:rFonts w:ascii="Trebuchet MS" w:hAnsi="Trebuchet MS"/>
                <w:sz w:val="24"/>
                <w:szCs w:val="24"/>
              </w:rPr>
              <w:t> § miljöprövningsförordningen</w:t>
            </w:r>
            <w:r w:rsidRPr="00C45224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584F36" w:rsidRDefault="00584F36">
      <w:pPr>
        <w:ind w:left="-284"/>
        <w:rPr>
          <w:sz w:val="20"/>
        </w:rPr>
      </w:pPr>
    </w:p>
    <w:p w:rsidR="003B2F6E" w:rsidRDefault="003B2F6E">
      <w:pPr>
        <w:ind w:left="-284"/>
        <w:rPr>
          <w:sz w:val="20"/>
        </w:rPr>
      </w:pPr>
    </w:p>
    <w:p w:rsidR="003B2F6E" w:rsidRPr="002C4F26" w:rsidRDefault="003B2F6E">
      <w:pPr>
        <w:tabs>
          <w:tab w:val="left" w:pos="4820"/>
        </w:tabs>
        <w:ind w:left="-284" w:right="-1010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Brukare</w:t>
      </w:r>
      <w:r w:rsidRPr="002C4F26">
        <w:rPr>
          <w:rFonts w:ascii="Georgia" w:hAnsi="Georgia"/>
          <w:b/>
          <w:szCs w:val="26"/>
        </w:rPr>
        <w:tab/>
        <w:t>Fastighetsägare (om annan än brukaren)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3B2F6E" w:rsidRPr="002C4F26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Namn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Adress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Telefon dagtid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2C4F26">
              <w:rPr>
                <w:rFonts w:ascii="Georgia" w:hAnsi="Georgia"/>
                <w:sz w:val="22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2C4F26">
              <w:rPr>
                <w:rFonts w:ascii="Georgia" w:hAnsi="Georgia"/>
                <w:sz w:val="22"/>
                <w:lang w:val="de-DE"/>
              </w:rPr>
              <w:t>E-post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lang w:val="de-DE"/>
              </w:rPr>
            </w:pPr>
          </w:p>
        </w:tc>
      </w:tr>
      <w:tr w:rsidR="003B2F6E" w:rsidRPr="002C4F26">
        <w:trPr>
          <w:cantSplit/>
          <w:trHeight w:val="210"/>
        </w:trPr>
        <w:tc>
          <w:tcPr>
            <w:tcW w:w="10065" w:type="dxa"/>
            <w:gridSpan w:val="2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Fastighetsbeteckning</w:t>
            </w:r>
          </w:p>
        </w:tc>
      </w:tr>
      <w:tr w:rsidR="003B2F6E">
        <w:trPr>
          <w:cantSplit/>
          <w:trHeight w:val="480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</w:tbl>
    <w:p w:rsidR="009857C0" w:rsidRDefault="009857C0"/>
    <w:p w:rsidR="009857C0" w:rsidRDefault="009857C0"/>
    <w:p w:rsidR="009857C0" w:rsidRPr="002C4F26" w:rsidRDefault="00F82614" w:rsidP="009857C0">
      <w:pPr>
        <w:ind w:left="-284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Marktyp och areal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1749"/>
        <w:gridCol w:w="4961"/>
      </w:tblGrid>
      <w:tr w:rsidR="003B2F6E" w:rsidRPr="002C4F26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3B2F6E" w:rsidRPr="002C4F26" w:rsidRDefault="009857C0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Typ av mark som ska odlas upp</w:t>
            </w:r>
          </w:p>
        </w:tc>
      </w:tr>
      <w:tr w:rsidR="003B2F6E" w:rsidRPr="00C45224" w:rsidTr="002C4F26">
        <w:trPr>
          <w:cantSplit/>
          <w:trHeight w:val="307"/>
        </w:trPr>
        <w:tc>
          <w:tcPr>
            <w:tcW w:w="335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2C4F26" w:rsidRDefault="003B2F6E" w:rsidP="009857C0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Pr="002C4F2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FB0403">
              <w:rPr>
                <w:rFonts w:ascii="Georgia" w:hAnsi="Georgia" w:cs="Arial"/>
                <w:sz w:val="22"/>
                <w:szCs w:val="24"/>
              </w:rPr>
            </w:r>
            <w:r w:rsidR="00FB040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2C4F2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0"/>
            <w:r w:rsidRPr="002C4F26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Skog</w:t>
            </w:r>
            <w:r w:rsidR="00F82614" w:rsidRPr="002C4F26">
              <w:rPr>
                <w:rFonts w:ascii="Georgia" w:hAnsi="Georgia" w:cs="Arial"/>
                <w:sz w:val="22"/>
                <w:szCs w:val="24"/>
              </w:rPr>
              <w:t>s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mark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2C4F26" w:rsidRDefault="003B2F6E" w:rsidP="00F82614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2C4F2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FB0403">
              <w:rPr>
                <w:rFonts w:ascii="Georgia" w:hAnsi="Georgia" w:cs="Arial"/>
                <w:sz w:val="22"/>
                <w:szCs w:val="24"/>
              </w:rPr>
            </w:r>
            <w:r w:rsidR="00FB040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2C4F2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"/>
            <w:r w:rsidRPr="002C4F26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Anna</w:t>
            </w:r>
            <w:r w:rsidR="00F82614" w:rsidRPr="002C4F26">
              <w:rPr>
                <w:rFonts w:ascii="Georgia" w:hAnsi="Georgia" w:cs="Arial"/>
                <w:sz w:val="22"/>
                <w:szCs w:val="24"/>
              </w:rPr>
              <w:t>n mark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Pr="009857C0" w:rsidRDefault="003B2F6E" w:rsidP="009857C0">
            <w:pPr>
              <w:rPr>
                <w:rFonts w:ascii="Arial" w:hAnsi="Arial" w:cs="Arial"/>
                <w:szCs w:val="24"/>
              </w:rPr>
            </w:pPr>
          </w:p>
        </w:tc>
      </w:tr>
      <w:tr w:rsidR="009857C0" w:rsidRPr="00C45224" w:rsidTr="002C4F26">
        <w:trPr>
          <w:cantSplit/>
          <w:trHeight w:val="8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:rsidR="009857C0" w:rsidRPr="009857C0" w:rsidRDefault="009857C0" w:rsidP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vAlign w:val="center"/>
          </w:tcPr>
          <w:p w:rsidR="009857C0" w:rsidRPr="009857C0" w:rsidRDefault="009857C0" w:rsidP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</w:tcBorders>
            <w:vAlign w:val="center"/>
          </w:tcPr>
          <w:p w:rsidR="009857C0" w:rsidRPr="009857C0" w:rsidRDefault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F82614" w:rsidRPr="00C45224" w:rsidTr="002C6E82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F82614" w:rsidRPr="002C4F26" w:rsidRDefault="00F82614" w:rsidP="002C6E82">
            <w:pPr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Areal (hektar)</w:t>
            </w:r>
          </w:p>
        </w:tc>
      </w:tr>
      <w:tr w:rsidR="00F82614" w:rsidRPr="00C45224" w:rsidTr="00F82614">
        <w:trPr>
          <w:cantSplit/>
          <w:trHeight w:val="566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F82614" w:rsidRPr="009857C0" w:rsidRDefault="00F82614" w:rsidP="00F8261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64E7B" w:rsidRPr="00F82614" w:rsidRDefault="00264E7B">
      <w:pPr>
        <w:ind w:left="-284"/>
        <w:rPr>
          <w:rFonts w:ascii="Arial Narrow" w:hAnsi="Arial Narrow"/>
          <w:sz w:val="20"/>
        </w:rPr>
      </w:pPr>
    </w:p>
    <w:p w:rsidR="00F82614" w:rsidRPr="002C4F26" w:rsidRDefault="00F82614">
      <w:pPr>
        <w:ind w:left="-284"/>
        <w:rPr>
          <w:rFonts w:ascii="Georgia" w:hAnsi="Georgia"/>
          <w:sz w:val="22"/>
          <w:szCs w:val="24"/>
        </w:rPr>
      </w:pPr>
      <w:r w:rsidRPr="002C4F26">
        <w:rPr>
          <w:rFonts w:ascii="Georgia" w:hAnsi="Georgia"/>
          <w:sz w:val="22"/>
          <w:szCs w:val="24"/>
        </w:rPr>
        <w:t xml:space="preserve">Bifoga karta som visar vilka ytor som </w:t>
      </w:r>
      <w:r w:rsidR="00584F36" w:rsidRPr="002C4F26">
        <w:rPr>
          <w:rFonts w:ascii="Georgia" w:hAnsi="Georgia"/>
          <w:sz w:val="22"/>
          <w:szCs w:val="24"/>
        </w:rPr>
        <w:t>du ska odla</w:t>
      </w:r>
      <w:r w:rsidRPr="002C4F26">
        <w:rPr>
          <w:rFonts w:ascii="Georgia" w:hAnsi="Georgia"/>
          <w:sz w:val="22"/>
          <w:szCs w:val="24"/>
        </w:rPr>
        <w:t xml:space="preserve"> upp och var de ligger i förhållande till gårds</w:t>
      </w:r>
      <w:r w:rsidR="002C4F26">
        <w:rPr>
          <w:rFonts w:ascii="Georgia" w:hAnsi="Georgia"/>
          <w:sz w:val="22"/>
          <w:szCs w:val="24"/>
        </w:rPr>
        <w:softHyphen/>
      </w:r>
      <w:r w:rsidRPr="002C4F26">
        <w:rPr>
          <w:rFonts w:ascii="Georgia" w:hAnsi="Georgia"/>
          <w:sz w:val="22"/>
          <w:szCs w:val="24"/>
        </w:rPr>
        <w:t>bebyggelsen, annan bebyggelse, sjöar och vattendrag.</w:t>
      </w:r>
    </w:p>
    <w:p w:rsidR="00F82614" w:rsidRPr="00F82614" w:rsidRDefault="00F82614">
      <w:pPr>
        <w:ind w:left="-284"/>
        <w:rPr>
          <w:rFonts w:ascii="Arial Narrow" w:hAnsi="Arial Narrow"/>
          <w:sz w:val="20"/>
        </w:rPr>
      </w:pPr>
    </w:p>
    <w:p w:rsidR="00F82614" w:rsidRPr="00F82614" w:rsidRDefault="00F82614">
      <w:pPr>
        <w:ind w:left="-284"/>
        <w:rPr>
          <w:rFonts w:ascii="Arial Narrow" w:hAnsi="Arial Narrow"/>
          <w:sz w:val="20"/>
        </w:rPr>
      </w:pPr>
    </w:p>
    <w:p w:rsidR="00F82614" w:rsidRPr="002C4F26" w:rsidRDefault="00F22532">
      <w:pPr>
        <w:ind w:left="-284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Grödor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F22532" w:rsidRPr="002C4F26" w:rsidTr="002C6E82">
        <w:trPr>
          <w:cantSplit/>
          <w:trHeight w:val="210"/>
        </w:trPr>
        <w:tc>
          <w:tcPr>
            <w:tcW w:w="10065" w:type="dxa"/>
            <w:gridSpan w:val="2"/>
            <w:tcBorders>
              <w:bottom w:val="nil"/>
            </w:tcBorders>
          </w:tcPr>
          <w:p w:rsidR="00F22532" w:rsidRPr="002C4F26" w:rsidRDefault="00F22532" w:rsidP="002C6E82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Vilka grödor kommer att odlas under de tre första åren i samband med nyodlingen?</w:t>
            </w: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1: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2: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3: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80"/>
        </w:trPr>
        <w:tc>
          <w:tcPr>
            <w:tcW w:w="710" w:type="dxa"/>
            <w:tcBorders>
              <w:top w:val="nil"/>
              <w:right w:val="nil"/>
            </w:tcBorders>
            <w:vAlign w:val="center"/>
          </w:tcPr>
          <w:p w:rsidR="00F22532" w:rsidRPr="009857C0" w:rsidRDefault="00F22532" w:rsidP="002C6E82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9355" w:type="dxa"/>
            <w:tcBorders>
              <w:top w:val="dashSmallGap" w:sz="4" w:space="0" w:color="auto"/>
              <w:left w:val="nil"/>
            </w:tcBorders>
            <w:vAlign w:val="center"/>
          </w:tcPr>
          <w:p w:rsidR="00F22532" w:rsidRPr="009857C0" w:rsidRDefault="00F22532" w:rsidP="002C6E82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:rsidR="00F82614" w:rsidRDefault="00F82614">
      <w:pPr>
        <w:ind w:left="-284"/>
        <w:rPr>
          <w:rFonts w:ascii="Arial Narrow" w:hAnsi="Arial Narrow"/>
          <w:sz w:val="20"/>
        </w:rPr>
      </w:pPr>
    </w:p>
    <w:p w:rsidR="00F22532" w:rsidRDefault="00F22532">
      <w:pPr>
        <w:ind w:left="-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:rsidR="00F22532" w:rsidRPr="00F82614" w:rsidRDefault="00F22532">
      <w:pPr>
        <w:ind w:left="-284"/>
        <w:rPr>
          <w:rFonts w:ascii="Arial Narrow" w:hAnsi="Arial Narrow"/>
          <w:sz w:val="20"/>
        </w:rPr>
      </w:pPr>
    </w:p>
    <w:p w:rsidR="003B2F6E" w:rsidRPr="002C4F26" w:rsidRDefault="00F82614">
      <w:pPr>
        <w:pStyle w:val="Rubrik2"/>
        <w:ind w:left="-284"/>
        <w:rPr>
          <w:rFonts w:ascii="Georgia" w:hAnsi="Georgia"/>
          <w:szCs w:val="26"/>
        </w:rPr>
      </w:pPr>
      <w:r w:rsidRPr="002C4F26">
        <w:rPr>
          <w:rFonts w:ascii="Georgia" w:hAnsi="Georgia"/>
          <w:szCs w:val="26"/>
        </w:rPr>
        <w:t>Beskrivning</w:t>
      </w:r>
      <w:r w:rsidR="00F22532" w:rsidRPr="002C4F26">
        <w:rPr>
          <w:rFonts w:ascii="Georgia" w:hAnsi="Georgia"/>
          <w:szCs w:val="26"/>
        </w:rPr>
        <w:t xml:space="preserve"> av åtgärder</w:t>
      </w:r>
      <w:r w:rsidR="007127F3" w:rsidRPr="002C4F26">
        <w:rPr>
          <w:rFonts w:ascii="Georgia" w:hAnsi="Georgia"/>
          <w:szCs w:val="26"/>
        </w:rPr>
        <w:t xml:space="preserve"> och försiktighetsmått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2614" w:rsidRPr="00264E7B" w:rsidTr="002C6E82">
        <w:trPr>
          <w:trHeight w:val="510"/>
        </w:trPr>
        <w:tc>
          <w:tcPr>
            <w:tcW w:w="10065" w:type="dxa"/>
            <w:tcBorders>
              <w:bottom w:val="nil"/>
            </w:tcBorders>
            <w:vAlign w:val="center"/>
          </w:tcPr>
          <w:p w:rsidR="00F82614" w:rsidRPr="002C4F26" w:rsidRDefault="00F82614" w:rsidP="00F2253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Beskrivning av åtgärder och hur dessa kommer att utföras</w:t>
            </w:r>
            <w:r w:rsidR="00F22532" w:rsidRPr="002C4F26">
              <w:rPr>
                <w:rFonts w:ascii="Georgia" w:hAnsi="Georgia"/>
                <w:sz w:val="22"/>
              </w:rPr>
              <w:t xml:space="preserve">, </w:t>
            </w:r>
            <w:r w:rsidRPr="002C4F26">
              <w:rPr>
                <w:rFonts w:ascii="Georgia" w:hAnsi="Georgia"/>
                <w:sz w:val="22"/>
              </w:rPr>
              <w:t>exempel</w:t>
            </w:r>
            <w:r w:rsidR="00F22532" w:rsidRPr="002C4F26">
              <w:rPr>
                <w:rFonts w:ascii="Georgia" w:hAnsi="Georgia"/>
                <w:sz w:val="22"/>
              </w:rPr>
              <w:t>vis</w:t>
            </w:r>
            <w:r w:rsidRPr="002C4F26">
              <w:rPr>
                <w:rFonts w:ascii="Georgia" w:hAnsi="Georgia"/>
                <w:sz w:val="22"/>
              </w:rPr>
              <w:t xml:space="preserve"> avverkning, fräsning, gödsling</w:t>
            </w:r>
            <w:r w:rsidR="00F22532" w:rsidRPr="002C4F26">
              <w:rPr>
                <w:rFonts w:ascii="Georgia" w:hAnsi="Georgia"/>
                <w:sz w:val="22"/>
              </w:rPr>
              <w:t xml:space="preserve"> (gödselslag och giva)</w:t>
            </w:r>
            <w:r w:rsidRPr="002C4F26">
              <w:rPr>
                <w:rFonts w:ascii="Georgia" w:hAnsi="Georgia"/>
                <w:sz w:val="22"/>
              </w:rPr>
              <w:t>, annan jordbearbetning, sådd</w:t>
            </w:r>
            <w:r w:rsidR="00F22532" w:rsidRPr="002C4F26">
              <w:rPr>
                <w:rFonts w:ascii="Georgia" w:hAnsi="Georgia"/>
                <w:sz w:val="22"/>
              </w:rPr>
              <w:t>, kemisk bekämpning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nil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F82614" w:rsidRDefault="00F82614" w:rsidP="002C6E82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F82614" w:rsidRPr="00F22532" w:rsidRDefault="00F82614" w:rsidP="00F82614">
      <w:pPr>
        <w:ind w:left="-284"/>
        <w:rPr>
          <w:rFonts w:ascii="Arial Narrow" w:hAnsi="Arial Narrow"/>
          <w:sz w:val="20"/>
        </w:rPr>
      </w:pPr>
    </w:p>
    <w:p w:rsidR="00F22532" w:rsidRDefault="00F22532" w:rsidP="00F82614">
      <w:pPr>
        <w:ind w:left="-284"/>
        <w:rPr>
          <w:rFonts w:ascii="Arial Narrow" w:hAnsi="Arial Narrow"/>
          <w:sz w:val="20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22532" w:rsidRPr="00264E7B" w:rsidTr="00F22532">
        <w:trPr>
          <w:trHeight w:val="243"/>
        </w:trPr>
        <w:tc>
          <w:tcPr>
            <w:tcW w:w="10065" w:type="dxa"/>
            <w:tcBorders>
              <w:bottom w:val="nil"/>
            </w:tcBorders>
            <w:vAlign w:val="center"/>
          </w:tcPr>
          <w:p w:rsidR="00F22532" w:rsidRPr="002C4F26" w:rsidRDefault="00F22532" w:rsidP="002C4F2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Beskrivning av försiktighetsmått i anslutning till känsliga objekt (sjöa</w:t>
            </w:r>
            <w:r w:rsidR="002C4F26">
              <w:rPr>
                <w:rFonts w:ascii="Georgia" w:hAnsi="Georgia"/>
                <w:sz w:val="22"/>
              </w:rPr>
              <w:t>r och vattendrag, bebyggelse med mera</w:t>
            </w:r>
            <w:r w:rsidRPr="002C4F26">
              <w:rPr>
                <w:rFonts w:ascii="Georgia" w:hAnsi="Georgia"/>
                <w:sz w:val="22"/>
              </w:rPr>
              <w:t>)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nil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7127F3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7127F3" w:rsidRDefault="007127F3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F22532" w:rsidRDefault="00F22532" w:rsidP="002C6E82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F22532" w:rsidRPr="00F22532" w:rsidRDefault="00F22532" w:rsidP="00F82614">
      <w:pPr>
        <w:ind w:left="-284"/>
        <w:rPr>
          <w:rFonts w:ascii="Arial Narrow" w:hAnsi="Arial Narrow"/>
          <w:sz w:val="20"/>
        </w:rPr>
      </w:pPr>
    </w:p>
    <w:p w:rsidR="00F22532" w:rsidRPr="00F22532" w:rsidRDefault="00F22532" w:rsidP="00F82614">
      <w:pPr>
        <w:ind w:left="-284"/>
        <w:rPr>
          <w:rFonts w:ascii="Arial Narrow" w:hAnsi="Arial Narrow"/>
          <w:sz w:val="20"/>
        </w:rPr>
      </w:pPr>
    </w:p>
    <w:p w:rsidR="00456A19" w:rsidRPr="00456A19" w:rsidRDefault="00456A19">
      <w:pPr>
        <w:pStyle w:val="Rubrik2"/>
        <w:ind w:left="-284"/>
        <w:rPr>
          <w:rFonts w:ascii="Arial Narrow" w:hAnsi="Arial Narrow"/>
          <w:sz w:val="20"/>
        </w:rPr>
      </w:pPr>
    </w:p>
    <w:p w:rsidR="00456A19" w:rsidRPr="002C4F26" w:rsidRDefault="00456A19" w:rsidP="00456A19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2C4F26">
        <w:rPr>
          <w:rFonts w:ascii="Georgia" w:hAnsi="Georgia"/>
          <w:szCs w:val="26"/>
        </w:rPr>
        <w:t xml:space="preserve">Underskrift </w:t>
      </w:r>
      <w:r w:rsidRPr="002C4F26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1957A5" w:rsidRPr="002C4F26">
        <w:rPr>
          <w:rFonts w:ascii="Georgia" w:hAnsi="Georgia"/>
          <w:b w:val="0"/>
          <w:sz w:val="22"/>
          <w:szCs w:val="26"/>
        </w:rPr>
        <w:t>hantering</w:t>
      </w:r>
      <w:r w:rsidRPr="002C4F26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456A19" w:rsidRPr="002C4F26" w:rsidTr="002C6E82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456A19" w:rsidTr="002C6E82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456A19" w:rsidRDefault="00456A19" w:rsidP="002C6E82">
            <w:pPr>
              <w:rPr>
                <w:rFonts w:ascii="Arial" w:hAnsi="Arial" w:cs="Arial"/>
              </w:rPr>
            </w:pPr>
          </w:p>
        </w:tc>
      </w:tr>
      <w:tr w:rsidR="00456A19" w:rsidRPr="002C4F26" w:rsidTr="002C6E82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456A19" w:rsidTr="002C6E82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456A19" w:rsidRDefault="00456A19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456A19" w:rsidRDefault="00456A19" w:rsidP="002C6E82">
            <w:pPr>
              <w:rPr>
                <w:rFonts w:ascii="Arial" w:hAnsi="Arial" w:cs="Arial"/>
              </w:rPr>
            </w:pPr>
          </w:p>
        </w:tc>
      </w:tr>
    </w:tbl>
    <w:p w:rsidR="003B2F6E" w:rsidRPr="007127F3" w:rsidRDefault="003B2F6E">
      <w:pPr>
        <w:pStyle w:val="Rubrik2"/>
        <w:ind w:left="-284"/>
        <w:rPr>
          <w:rFonts w:ascii="Arial Narrow" w:hAnsi="Arial Narrow"/>
          <w:sz w:val="20"/>
        </w:rPr>
      </w:pPr>
      <w:r>
        <w:br w:type="page"/>
      </w:r>
    </w:p>
    <w:p w:rsidR="003B2F6E" w:rsidRPr="007127F3" w:rsidRDefault="003B2F6E">
      <w:pPr>
        <w:ind w:left="-284"/>
        <w:rPr>
          <w:rFonts w:ascii="Arial Narrow" w:hAnsi="Arial Narrow"/>
          <w:sz w:val="20"/>
        </w:rPr>
      </w:pPr>
    </w:p>
    <w:p w:rsidR="003B2F6E" w:rsidRPr="001D25AC" w:rsidRDefault="003B2F6E">
      <w:pPr>
        <w:pStyle w:val="Rubrik5"/>
        <w:rPr>
          <w:rFonts w:ascii="Trebuchet MS" w:hAnsi="Trebuchet MS"/>
          <w:sz w:val="28"/>
          <w:szCs w:val="28"/>
        </w:rPr>
      </w:pPr>
      <w:r w:rsidRPr="001D25AC">
        <w:rPr>
          <w:rFonts w:ascii="Trebuchet MS" w:hAnsi="Trebuchet MS"/>
          <w:sz w:val="28"/>
          <w:szCs w:val="28"/>
        </w:rPr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B2F6E">
        <w:trPr>
          <w:trHeight w:val="9244"/>
        </w:trPr>
        <w:tc>
          <w:tcPr>
            <w:tcW w:w="10065" w:type="dxa"/>
          </w:tcPr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iCs/>
                <w:sz w:val="22"/>
                <w:szCs w:val="22"/>
              </w:rPr>
            </w:pPr>
          </w:p>
          <w:p w:rsidR="003B2F6E" w:rsidRPr="001957A5" w:rsidRDefault="001957A5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Allmänna hänsynsreglerna (2 kap miljöbalken)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Bevisbörderegeln</w:t>
            </w:r>
            <w:bookmarkStart w:id="2" w:name="_GoBack"/>
            <w:bookmarkEnd w:id="2"/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verksamhetsutövaren ska visa att hänsynsreglerna följs och att skyddsåtgärder är tillräckliga. 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Kunskapskravet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veta vad man gör så att man inte stör.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Försiktighetsprincipen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redan risken för negativ påverkan innebär en skyldighet att vidta skyddsåtgärder och andra försiktighetsmått.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Principen om bästa möjliga teknik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för yrkesmässig verksamhet, omfattar både den teknologi som används, anläggningens konstruktion, utformning, byggnation, underhåll, ledning och drift samt avvecklingen.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Lokaliseringsprincipen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välja den plats som är lämpligast för miljö och hälsa.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Hushållningsprincipen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hushålla med råvaror och energi.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Kretsloppsprincipen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återanvända och återvinna produkter och material.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Produktvalsprincipen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iCs/>
                <w:sz w:val="22"/>
                <w:szCs w:val="22"/>
              </w:rPr>
              <w:t>eller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utbytesregeln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man ska välja sådana kemiska produkter och biotekniska organismer som är minst skadliga för miljö och hälsa.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Ansvar</w:t>
            </w:r>
            <w:r w:rsidRPr="001957A5"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 att avhjälpa skador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eller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förorenaren betalar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skador ska avhjälpas, även sådana som orsakats tidigare.</w:t>
            </w:r>
          </w:p>
          <w:p w:rsidR="003B2F6E" w:rsidRPr="001957A5" w:rsidRDefault="003B2F6E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Skälighetsregeln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 </w:t>
            </w:r>
            <w:r w:rsidRPr="001957A5">
              <w:rPr>
                <w:rFonts w:ascii="Georgia" w:hAnsi="Georgia" w:cs="Arial"/>
                <w:sz w:val="22"/>
                <w:szCs w:val="22"/>
              </w:rPr>
              <w:t>det ska vara rimligt att följa de övriga hänsynsreglerna. Vid bedömning av skäligheten ska man väga nyttan med åtgärderna mot kostnaden för dem.</w:t>
            </w:r>
          </w:p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957A5" w:rsidRDefault="001957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Egenkontroll</w:t>
            </w:r>
          </w:p>
          <w:p w:rsidR="003B2F6E" w:rsidRPr="001957A5" w:rsidRDefault="003B2F6E">
            <w:pPr>
              <w:ind w:right="282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sz w:val="22"/>
                <w:szCs w:val="22"/>
              </w:rPr>
              <w:t>Den som bedriver anmälnings- eller tillståndspliktig verksamhet ska utföra s</w:t>
            </w:r>
            <w:r w:rsidR="001D25AC" w:rsidRPr="001957A5">
              <w:rPr>
                <w:rFonts w:ascii="Georgia" w:hAnsi="Georgia" w:cs="Arial"/>
                <w:sz w:val="22"/>
                <w:szCs w:val="22"/>
              </w:rPr>
              <w:t>å kallad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dokumenterad egenkontroll</w:t>
            </w:r>
            <w:r w:rsidRPr="001957A5">
              <w:rPr>
                <w:rFonts w:ascii="Georgia" w:hAnsi="Georgia" w:cs="Arial"/>
                <w:sz w:val="22"/>
                <w:szCs w:val="22"/>
              </w:rPr>
              <w:t>, enligt förordningen (1998:901) om verksamhetsutövares egenkontroll. Följande ska då finnas nedskrivet: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>Organisatoriskt ansvar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– vem som är ansvarig för de frågor som rör miljön, speciellt vad det lagar och föreskrifter.</w:t>
            </w:r>
          </w:p>
          <w:p w:rsidR="003B2F6E" w:rsidRPr="001957A5" w:rsidRDefault="003B2F6E">
            <w:pPr>
              <w:pStyle w:val="Indragetstycke"/>
              <w:numPr>
                <w:ilvl w:val="0"/>
                <w:numId w:val="2"/>
              </w:numPr>
              <w:tabs>
                <w:tab w:val="clear" w:pos="862"/>
                <w:tab w:val="num" w:pos="356"/>
              </w:tabs>
              <w:ind w:left="356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Kontroll av utrustning m m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rutiner för löpande kontroll av utrustning för drift och kontroll, t ex besiktning av dieseltank och mjölktank (köldmedia), funktionstest av spruta, kontroll av gödselvårdsanläggning.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Bedömning av risker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fortlöpande och systematiska undersökningar av riskerna med verksamheten från hälso- och miljösynpunkt. 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>Driftstörningar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och liknande ska omgående rapporteras till tillsynsmyndigheten.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Kemikalieförteckning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lista på de kemikalier som används i verksamheten och som kan innebära risker för hälsa eller miljö. </w:t>
            </w:r>
            <w:r w:rsidR="001D25AC" w:rsidRPr="001957A5">
              <w:rPr>
                <w:rFonts w:ascii="Georgia" w:hAnsi="Georgia" w:cs="Arial"/>
                <w:sz w:val="22"/>
                <w:szCs w:val="22"/>
              </w:rPr>
              <w:t>S</w:t>
            </w:r>
            <w:r w:rsidRPr="001957A5">
              <w:rPr>
                <w:rFonts w:ascii="Georgia" w:hAnsi="Georgia" w:cs="Arial"/>
                <w:sz w:val="22"/>
                <w:szCs w:val="22"/>
              </w:rPr>
              <w:t>äkerhetsdatablad ska finnas för kemikalier som används yrkesmässigt.</w:t>
            </w:r>
          </w:p>
          <w:p w:rsidR="003B2F6E" w:rsidRPr="001957A5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957A5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957A5" w:rsidRDefault="001957A5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1957A5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1D25AC" w:rsidRPr="001957A5" w:rsidRDefault="003726E3" w:rsidP="007127F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sz w:val="22"/>
                <w:szCs w:val="22"/>
              </w:rPr>
              <w:t>För</w:t>
            </w:r>
            <w:r w:rsidR="003B2F6E" w:rsidRPr="001957A5">
              <w:rPr>
                <w:rFonts w:ascii="Georgia" w:hAnsi="Georgia" w:cs="Arial"/>
                <w:bCs/>
                <w:sz w:val="22"/>
                <w:szCs w:val="22"/>
              </w:rPr>
              <w:t xml:space="preserve"> handläggning av anmälan </w:t>
            </w:r>
            <w:r w:rsidR="007127F3" w:rsidRPr="001957A5">
              <w:rPr>
                <w:rFonts w:ascii="Georgia" w:hAnsi="Georgia" w:cs="Arial"/>
                <w:bCs/>
                <w:sz w:val="22"/>
                <w:szCs w:val="22"/>
              </w:rPr>
              <w:t>om uppodling av annan mark än jordbruksmark</w:t>
            </w:r>
            <w:r w:rsidR="003B2F6E" w:rsidRPr="001957A5"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 w:rsidR="007127F3" w:rsidRPr="001957A5">
              <w:rPr>
                <w:rFonts w:ascii="Georgia" w:hAnsi="Georgia" w:cs="Arial"/>
                <w:bCs/>
                <w:sz w:val="22"/>
                <w:szCs w:val="22"/>
              </w:rPr>
              <w:t>för produktion av foder, livsmedel eller annan liknande jordbruksproduktion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 w:rsidR="009A3442" w:rsidRPr="001957A5">
              <w:rPr>
                <w:rFonts w:ascii="Georgia" w:hAnsi="Georgia" w:cs="Arial"/>
                <w:bCs/>
                <w:sz w:val="22"/>
                <w:szCs w:val="22"/>
              </w:rPr>
              <w:t>tar vi ut en</w:t>
            </w:r>
            <w:r w:rsidR="001D25AC" w:rsidRPr="001957A5">
              <w:rPr>
                <w:rFonts w:ascii="Georgia" w:hAnsi="Georgia" w:cs="Arial"/>
                <w:bCs/>
                <w:sz w:val="22"/>
                <w:szCs w:val="22"/>
              </w:rPr>
              <w:t xml:space="preserve"> avgift 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 xml:space="preserve">på </w:t>
            </w:r>
            <w:r>
              <w:rPr>
                <w:rFonts w:ascii="Georgia" w:hAnsi="Georgia" w:cs="Arial"/>
                <w:b/>
                <w:sz w:val="22"/>
                <w:szCs w:val="22"/>
              </w:rPr>
              <w:t>2 </w:t>
            </w:r>
            <w:r w:rsidR="008B3BFC">
              <w:rPr>
                <w:rFonts w:ascii="Georgia" w:hAnsi="Georgia" w:cs="Arial"/>
                <w:b/>
                <w:sz w:val="22"/>
                <w:szCs w:val="22"/>
              </w:rPr>
              <w:t>2</w:t>
            </w:r>
            <w:r w:rsidR="007831C2">
              <w:rPr>
                <w:rFonts w:ascii="Georgia" w:hAnsi="Georgia" w:cs="Arial"/>
                <w:b/>
                <w:sz w:val="22"/>
                <w:szCs w:val="22"/>
              </w:rPr>
              <w:t>96</w:t>
            </w:r>
            <w:r w:rsidRPr="001957A5">
              <w:rPr>
                <w:rFonts w:ascii="Georgia" w:hAnsi="Georgia" w:cs="Arial"/>
                <w:b/>
                <w:sz w:val="22"/>
                <w:szCs w:val="22"/>
              </w:rPr>
              <w:t xml:space="preserve"> kronor</w:t>
            </w:r>
            <w:r>
              <w:rPr>
                <w:rFonts w:ascii="Georgia" w:hAnsi="Georgia" w:cs="Arial"/>
                <w:sz w:val="22"/>
                <w:szCs w:val="22"/>
              </w:rPr>
              <w:t xml:space="preserve">, </w:t>
            </w:r>
            <w:r w:rsidR="001D25AC" w:rsidRPr="001957A5">
              <w:rPr>
                <w:rFonts w:ascii="Georgia" w:hAnsi="Georgia" w:cs="Arial"/>
                <w:bCs/>
                <w:sz w:val="22"/>
                <w:szCs w:val="22"/>
              </w:rPr>
              <w:t xml:space="preserve">enligt </w:t>
            </w:r>
            <w:r w:rsidRPr="00045B25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Pr="00045B25">
              <w:rPr>
                <w:rFonts w:ascii="Georgia" w:hAnsi="Georgia"/>
                <w:sz w:val="22"/>
                <w:szCs w:val="22"/>
              </w:rPr>
              <w:t>, beslutad av kommun</w:t>
            </w:r>
            <w:r>
              <w:rPr>
                <w:rFonts w:ascii="Georgia" w:hAnsi="Georgia"/>
                <w:sz w:val="22"/>
                <w:szCs w:val="22"/>
              </w:rPr>
              <w:softHyphen/>
            </w:r>
            <w:r w:rsidRPr="00045B25">
              <w:rPr>
                <w:rFonts w:ascii="Georgia" w:hAnsi="Georgia"/>
                <w:sz w:val="22"/>
                <w:szCs w:val="22"/>
              </w:rPr>
              <w:t>fullmäktige 2023</w:t>
            </w:r>
            <w:r w:rsidRPr="00045B25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Pr="00045B25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  <w:p w:rsidR="003B2F6E" w:rsidRPr="001957A5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3B2F6E" w:rsidRPr="001957A5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1957A5" w:rsidRPr="00831A4D" w:rsidRDefault="001957A5" w:rsidP="001957A5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1957A5" w:rsidRDefault="001957A5" w:rsidP="001957A5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1957A5" w:rsidRPr="00831A4D" w:rsidRDefault="001957A5" w:rsidP="001957A5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FE5FA5">
              <w:rPr>
                <w:rFonts w:ascii="Georgia" w:hAnsi="Georgia"/>
                <w:sz w:val="22"/>
              </w:rPr>
              <w:t xml:space="preserve"> eller </w:t>
            </w:r>
            <w:hyperlink r:id="rId10" w:history="1">
              <w:r w:rsidR="00FE5FA5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  <w:p w:rsidR="00193CD9" w:rsidRPr="00193CD9" w:rsidRDefault="00193CD9">
            <w:pPr>
              <w:pStyle w:val="Brdtext3"/>
              <w:rPr>
                <w:rFonts w:ascii="Arial Narrow" w:hAnsi="Arial Narrow"/>
                <w:sz w:val="24"/>
              </w:rPr>
            </w:pPr>
          </w:p>
        </w:tc>
      </w:tr>
    </w:tbl>
    <w:p w:rsidR="003B2F6E" w:rsidRDefault="003B2F6E">
      <w:pPr>
        <w:ind w:left="-284"/>
      </w:pPr>
    </w:p>
    <w:sectPr w:rsidR="003B2F6E">
      <w:footerReference w:type="even" r:id="rId11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616" w:rsidRDefault="00327616">
      <w:r>
        <w:separator/>
      </w:r>
    </w:p>
  </w:endnote>
  <w:endnote w:type="continuationSeparator" w:id="0">
    <w:p w:rsidR="00327616" w:rsidRDefault="0032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6EB" w:rsidRDefault="003236E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236EB" w:rsidRDefault="003236E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616" w:rsidRDefault="00327616">
      <w:r>
        <w:separator/>
      </w:r>
    </w:p>
  </w:footnote>
  <w:footnote w:type="continuationSeparator" w:id="0">
    <w:p w:rsidR="00327616" w:rsidRDefault="0032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2CB0"/>
    <w:multiLevelType w:val="hybridMultilevel"/>
    <w:tmpl w:val="CE504C4A"/>
    <w:lvl w:ilvl="0" w:tplc="54F0E76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C"/>
    <w:rsid w:val="000329E7"/>
    <w:rsid w:val="000676C3"/>
    <w:rsid w:val="00070DEE"/>
    <w:rsid w:val="00085DC6"/>
    <w:rsid w:val="000D0027"/>
    <w:rsid w:val="000F7165"/>
    <w:rsid w:val="00137471"/>
    <w:rsid w:val="0014093C"/>
    <w:rsid w:val="001509BA"/>
    <w:rsid w:val="00193CD9"/>
    <w:rsid w:val="00194CE1"/>
    <w:rsid w:val="001957A5"/>
    <w:rsid w:val="001B3612"/>
    <w:rsid w:val="001D25AC"/>
    <w:rsid w:val="001D371D"/>
    <w:rsid w:val="00264E7B"/>
    <w:rsid w:val="002A05BC"/>
    <w:rsid w:val="002C4F26"/>
    <w:rsid w:val="002C6E82"/>
    <w:rsid w:val="00307D5F"/>
    <w:rsid w:val="003236EB"/>
    <w:rsid w:val="00327616"/>
    <w:rsid w:val="003726E3"/>
    <w:rsid w:val="003851E1"/>
    <w:rsid w:val="003B2F6E"/>
    <w:rsid w:val="003F75FE"/>
    <w:rsid w:val="0040356A"/>
    <w:rsid w:val="00456A19"/>
    <w:rsid w:val="004C34E9"/>
    <w:rsid w:val="00584F36"/>
    <w:rsid w:val="005861A5"/>
    <w:rsid w:val="005A0460"/>
    <w:rsid w:val="005F0D3E"/>
    <w:rsid w:val="00611640"/>
    <w:rsid w:val="006376EF"/>
    <w:rsid w:val="006A7B89"/>
    <w:rsid w:val="007127F3"/>
    <w:rsid w:val="007831C2"/>
    <w:rsid w:val="007F2F54"/>
    <w:rsid w:val="007F5ED5"/>
    <w:rsid w:val="008473BE"/>
    <w:rsid w:val="00852625"/>
    <w:rsid w:val="00855A17"/>
    <w:rsid w:val="008B3BFC"/>
    <w:rsid w:val="00906555"/>
    <w:rsid w:val="00920DBD"/>
    <w:rsid w:val="00976CE6"/>
    <w:rsid w:val="009857C0"/>
    <w:rsid w:val="00997180"/>
    <w:rsid w:val="009A3442"/>
    <w:rsid w:val="009A3D34"/>
    <w:rsid w:val="009C0902"/>
    <w:rsid w:val="009F13B5"/>
    <w:rsid w:val="00A27923"/>
    <w:rsid w:val="00A54339"/>
    <w:rsid w:val="00AC1B23"/>
    <w:rsid w:val="00AC304B"/>
    <w:rsid w:val="00AD3C5D"/>
    <w:rsid w:val="00B329FD"/>
    <w:rsid w:val="00B520E3"/>
    <w:rsid w:val="00B5252C"/>
    <w:rsid w:val="00B55736"/>
    <w:rsid w:val="00C2430E"/>
    <w:rsid w:val="00C45224"/>
    <w:rsid w:val="00CB6B35"/>
    <w:rsid w:val="00CD1D9D"/>
    <w:rsid w:val="00CE6EE7"/>
    <w:rsid w:val="00D102E0"/>
    <w:rsid w:val="00D84A55"/>
    <w:rsid w:val="00D97C65"/>
    <w:rsid w:val="00E40986"/>
    <w:rsid w:val="00E449E0"/>
    <w:rsid w:val="00E66AA1"/>
    <w:rsid w:val="00F22532"/>
    <w:rsid w:val="00F41311"/>
    <w:rsid w:val="00F612F8"/>
    <w:rsid w:val="00F61B35"/>
    <w:rsid w:val="00F64A87"/>
    <w:rsid w:val="00F82614"/>
    <w:rsid w:val="00FB0403"/>
    <w:rsid w:val="00FC3C5E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E692D"/>
  <w15:chartTrackingRefBased/>
  <w15:docId w15:val="{760DA72A-5EB2-40F6-9DBC-48549FAF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paragraph" w:styleId="Ballongtext">
    <w:name w:val="Balloon Text"/>
    <w:basedOn w:val="Normal"/>
    <w:link w:val="BallongtextChar"/>
    <w:rsid w:val="008526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2625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584F36"/>
    <w:rPr>
      <w:sz w:val="24"/>
    </w:rPr>
  </w:style>
  <w:style w:type="character" w:styleId="Hyperlnk">
    <w:name w:val="Hyperlink"/>
    <w:rsid w:val="00FE5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m@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F051-8A0B-4E9B-9D70-24685B22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616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4811</CharactersWithSpaces>
  <SharedDoc>false</SharedDoc>
  <HLinks>
    <vt:vector size="12" baseType="variant">
      <vt:variant>
        <vt:i4>6029437</vt:i4>
      </vt:variant>
      <vt:variant>
        <vt:i4>7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9</cp:revision>
  <cp:lastPrinted>2021-01-11T14:39:00Z</cp:lastPrinted>
  <dcterms:created xsi:type="dcterms:W3CDTF">2022-01-27T15:56:00Z</dcterms:created>
  <dcterms:modified xsi:type="dcterms:W3CDTF">2025-06-04T12:31:00Z</dcterms:modified>
</cp:coreProperties>
</file>